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FF14" w14:textId="0B8FAD83" w:rsidR="007A5097" w:rsidRDefault="00B54DF5" w:rsidP="00B54DF5">
      <w:pPr>
        <w:jc w:val="center"/>
      </w:pPr>
      <w:r>
        <w:rPr>
          <w:noProof/>
        </w:rPr>
        <w:drawing>
          <wp:inline distT="0" distB="0" distL="0" distR="0" wp14:anchorId="7649F1D0" wp14:editId="6CA831E9">
            <wp:extent cx="3742944" cy="1210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44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88C0" w14:textId="6737D76C" w:rsidR="00B54DF5" w:rsidRDefault="00B54DF5" w:rsidP="00B62BE1">
      <w:pPr>
        <w:pStyle w:val="Heading1"/>
        <w:jc w:val="center"/>
      </w:pPr>
      <w:r>
        <w:t>Region 7 Future Stars Regional Championships and Clinic</w:t>
      </w:r>
    </w:p>
    <w:p w14:paraId="645042A4" w14:textId="54909762" w:rsidR="00B54DF5" w:rsidRPr="00C61683" w:rsidRDefault="00B54DF5" w:rsidP="00B54DF5">
      <w:pPr>
        <w:rPr>
          <w:sz w:val="24"/>
          <w:szCs w:val="24"/>
        </w:rPr>
      </w:pPr>
      <w:r w:rsidRPr="00C61683">
        <w:rPr>
          <w:sz w:val="24"/>
          <w:szCs w:val="24"/>
        </w:rPr>
        <w:t>October 16 &amp; 17, 2021</w:t>
      </w:r>
    </w:p>
    <w:p w14:paraId="4A0C62CB" w14:textId="1BD17858" w:rsidR="00B54DF5" w:rsidRPr="00C61683" w:rsidRDefault="00B54DF5" w:rsidP="00B54DF5">
      <w:pPr>
        <w:rPr>
          <w:sz w:val="24"/>
          <w:szCs w:val="24"/>
        </w:rPr>
      </w:pPr>
      <w:r w:rsidRPr="00C61683">
        <w:rPr>
          <w:sz w:val="24"/>
          <w:szCs w:val="24"/>
        </w:rPr>
        <w:t>Hosted by Williamsburg Gymnastics 144-A Tewning Rd Williamsburg VA 23188</w:t>
      </w:r>
    </w:p>
    <w:p w14:paraId="6AD8233A" w14:textId="77777777" w:rsidR="00B54DF5" w:rsidRPr="00C61683" w:rsidRDefault="00B54DF5" w:rsidP="00B54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1683">
        <w:rPr>
          <w:sz w:val="24"/>
          <w:szCs w:val="24"/>
        </w:rPr>
        <w:t xml:space="preserve">Details: </w:t>
      </w:r>
    </w:p>
    <w:p w14:paraId="1E090051" w14:textId="378AB37F" w:rsidR="00B54DF5" w:rsidRPr="00C61683" w:rsidRDefault="00B54DF5" w:rsidP="00B54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1683">
        <w:rPr>
          <w:rFonts w:cstheme="minorHAnsi"/>
          <w:color w:val="000000"/>
          <w:sz w:val="24"/>
          <w:szCs w:val="24"/>
        </w:rPr>
        <w:t>$100 Entry Fee – Payable to “USA Gymnastics Region 7 Mens”</w:t>
      </w:r>
    </w:p>
    <w:p w14:paraId="5A5DED87" w14:textId="411DB1BD" w:rsidR="00B54DF5" w:rsidRPr="00C61683" w:rsidRDefault="00B54DF5" w:rsidP="00B54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1683">
        <w:rPr>
          <w:rFonts w:cstheme="minorHAnsi"/>
          <w:color w:val="000000"/>
          <w:sz w:val="24"/>
          <w:szCs w:val="24"/>
        </w:rPr>
        <w:t xml:space="preserve">Enter in the </w:t>
      </w:r>
      <w:r w:rsidRPr="00C61683">
        <w:rPr>
          <w:rFonts w:cstheme="minorHAnsi"/>
          <w:b/>
          <w:bCs/>
          <w:color w:val="000000"/>
          <w:sz w:val="24"/>
          <w:szCs w:val="24"/>
        </w:rPr>
        <w:t>USAG Meet Registration System</w:t>
      </w:r>
    </w:p>
    <w:p w14:paraId="606E4688" w14:textId="324921C6" w:rsidR="00B54DF5" w:rsidRPr="00C61683" w:rsidRDefault="00B54DF5" w:rsidP="00B54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A211E"/>
          <w:sz w:val="24"/>
          <w:szCs w:val="24"/>
        </w:rPr>
      </w:pPr>
      <w:r w:rsidRPr="00C61683">
        <w:rPr>
          <w:rFonts w:cstheme="minorHAnsi"/>
          <w:color w:val="000000"/>
          <w:sz w:val="24"/>
          <w:szCs w:val="24"/>
        </w:rPr>
        <w:t xml:space="preserve">Payments mailed to: </w:t>
      </w:r>
      <w:r w:rsidRPr="00C61683">
        <w:rPr>
          <w:rFonts w:cstheme="minorHAnsi"/>
          <w:b/>
          <w:bCs/>
          <w:color w:val="CA211E"/>
          <w:sz w:val="24"/>
          <w:szCs w:val="24"/>
        </w:rPr>
        <w:t>Region 7 Gymnastics | C/O Richard Pulsfort | 529 Maple Ave | Elizabeth NJ | 07202</w:t>
      </w:r>
    </w:p>
    <w:p w14:paraId="0194BE3B" w14:textId="606A9983" w:rsidR="00B54DF5" w:rsidRPr="00C61683" w:rsidRDefault="00B54DF5" w:rsidP="00B54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1683">
        <w:rPr>
          <w:rFonts w:cstheme="minorHAnsi"/>
          <w:color w:val="000000"/>
          <w:sz w:val="24"/>
          <w:szCs w:val="24"/>
        </w:rPr>
        <w:t>Tentative schedule will have all competitors in one session on Sunday, mid-day.</w:t>
      </w:r>
    </w:p>
    <w:p w14:paraId="42528359" w14:textId="5AC9A478" w:rsidR="00B54DF5" w:rsidRPr="00C61683" w:rsidRDefault="00B54DF5" w:rsidP="00B54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1683">
        <w:rPr>
          <w:rFonts w:cstheme="minorHAnsi"/>
          <w:color w:val="000000"/>
          <w:sz w:val="24"/>
          <w:szCs w:val="24"/>
        </w:rPr>
        <w:t>ANY athlete wishing to compete in Future Stars is welcome.</w:t>
      </w:r>
    </w:p>
    <w:p w14:paraId="17314AA3" w14:textId="27C785F0" w:rsidR="00B54DF5" w:rsidRDefault="00B54DF5" w:rsidP="00B54DF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3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1042"/>
        <w:gridCol w:w="3085"/>
      </w:tblGrid>
      <w:tr w:rsidR="00B62BE1" w14:paraId="41B84D15" w14:textId="0A550DC2" w:rsidTr="00B62BE1">
        <w:trPr>
          <w:trHeight w:val="276"/>
          <w:jc w:val="center"/>
        </w:trPr>
        <w:tc>
          <w:tcPr>
            <w:tcW w:w="1175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BDD35" w14:textId="77777777" w:rsidR="00B62BE1" w:rsidRDefault="00B62BE1" w:rsidP="0001321A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Age</w:t>
            </w:r>
          </w:p>
        </w:tc>
        <w:tc>
          <w:tcPr>
            <w:tcW w:w="1042" w:type="dxa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F585" w14:textId="228D0EF1" w:rsidR="00B62BE1" w:rsidRDefault="00B62BE1" w:rsidP="0001321A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</w:rPr>
              <w:t>Birth Year</w:t>
            </w:r>
          </w:p>
        </w:tc>
        <w:tc>
          <w:tcPr>
            <w:tcW w:w="3085" w:type="dxa"/>
            <w:shd w:val="clear" w:color="auto" w:fill="BFBFBF"/>
          </w:tcPr>
          <w:p w14:paraId="7BFD90B5" w14:textId="77777777" w:rsidR="00B62BE1" w:rsidRDefault="00B62BE1" w:rsidP="0001321A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62BE1" w14:paraId="63E3CA2F" w14:textId="49A569A9" w:rsidTr="00B62BE1">
        <w:trPr>
          <w:jc w:val="center"/>
        </w:trPr>
        <w:tc>
          <w:tcPr>
            <w:tcW w:w="1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F386" w14:textId="0A18DF15" w:rsidR="00B62BE1" w:rsidRDefault="00B62BE1" w:rsidP="0001321A">
            <w:pPr>
              <w:pStyle w:val="Standard"/>
              <w:spacing w:after="0" w:line="240" w:lineRule="auto"/>
            </w:pPr>
            <w:r>
              <w:t>8-year-old</w:t>
            </w:r>
          </w:p>
        </w:tc>
        <w:tc>
          <w:tcPr>
            <w:tcW w:w="10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82DCC" w14:textId="44FCA17C" w:rsidR="00B62BE1" w:rsidRPr="00B62BE1" w:rsidRDefault="00B62BE1" w:rsidP="0001321A">
            <w:pPr>
              <w:pStyle w:val="Standard"/>
              <w:spacing w:after="0" w:line="240" w:lineRule="auto"/>
            </w:pPr>
            <w:r w:rsidRPr="00B62BE1">
              <w:t>201</w:t>
            </w:r>
            <w:r w:rsidR="00423898">
              <w:t>3</w:t>
            </w:r>
            <w:bookmarkStart w:id="0" w:name="_GoBack"/>
            <w:bookmarkEnd w:id="0"/>
          </w:p>
        </w:tc>
        <w:tc>
          <w:tcPr>
            <w:tcW w:w="3085" w:type="dxa"/>
          </w:tcPr>
          <w:p w14:paraId="69D3669D" w14:textId="77777777" w:rsidR="00B62BE1" w:rsidRPr="00B62BE1" w:rsidRDefault="00B62BE1" w:rsidP="0001321A">
            <w:pPr>
              <w:pStyle w:val="Standard"/>
              <w:spacing w:after="0" w:line="240" w:lineRule="auto"/>
            </w:pPr>
          </w:p>
        </w:tc>
      </w:tr>
      <w:tr w:rsidR="00B62BE1" w14:paraId="0ADDF00D" w14:textId="6E14764A" w:rsidTr="00B62BE1">
        <w:trPr>
          <w:jc w:val="center"/>
        </w:trPr>
        <w:tc>
          <w:tcPr>
            <w:tcW w:w="1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462A" w14:textId="766EFB40" w:rsidR="00B62BE1" w:rsidRDefault="00B62BE1" w:rsidP="0001321A">
            <w:pPr>
              <w:pStyle w:val="Standard"/>
              <w:spacing w:after="0" w:line="240" w:lineRule="auto"/>
            </w:pPr>
            <w:r>
              <w:t>9-year-old</w:t>
            </w:r>
          </w:p>
        </w:tc>
        <w:tc>
          <w:tcPr>
            <w:tcW w:w="10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091F9" w14:textId="6565D736" w:rsidR="00B62BE1" w:rsidRPr="00B62BE1" w:rsidRDefault="00B62BE1" w:rsidP="0001321A">
            <w:pPr>
              <w:pStyle w:val="Standard"/>
              <w:spacing w:after="0" w:line="240" w:lineRule="auto"/>
            </w:pPr>
            <w:r w:rsidRPr="00B62BE1">
              <w:t>201</w:t>
            </w:r>
            <w:r w:rsidR="00423898">
              <w:t>2</w:t>
            </w:r>
          </w:p>
        </w:tc>
        <w:tc>
          <w:tcPr>
            <w:tcW w:w="3085" w:type="dxa"/>
          </w:tcPr>
          <w:p w14:paraId="220AEC3F" w14:textId="4871D890" w:rsidR="00B62BE1" w:rsidRPr="00B62BE1" w:rsidRDefault="00B62BE1" w:rsidP="0001321A">
            <w:pPr>
              <w:pStyle w:val="Standard"/>
              <w:spacing w:after="0" w:line="240" w:lineRule="auto"/>
            </w:pPr>
          </w:p>
        </w:tc>
      </w:tr>
      <w:tr w:rsidR="00B62BE1" w14:paraId="7F2A5237" w14:textId="1815EE01" w:rsidTr="00B62BE1">
        <w:trPr>
          <w:jc w:val="center"/>
        </w:trPr>
        <w:tc>
          <w:tcPr>
            <w:tcW w:w="1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ED692" w14:textId="733BAE26" w:rsidR="00B62BE1" w:rsidRDefault="00B62BE1" w:rsidP="00B62BE1">
            <w:pPr>
              <w:pStyle w:val="Standard"/>
              <w:spacing w:after="0" w:line="240" w:lineRule="auto"/>
            </w:pPr>
            <w:r>
              <w:t>10</w:t>
            </w:r>
            <w:r w:rsidR="00390F51">
              <w:t>-</w:t>
            </w:r>
            <w:r>
              <w:t>year</w:t>
            </w:r>
            <w:r w:rsidR="00390F51">
              <w:t>-</w:t>
            </w:r>
            <w:r>
              <w:t xml:space="preserve">old </w:t>
            </w:r>
          </w:p>
        </w:tc>
        <w:tc>
          <w:tcPr>
            <w:tcW w:w="10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A938E" w14:textId="356E7B22" w:rsidR="00B62BE1" w:rsidRPr="00B62BE1" w:rsidRDefault="00B62BE1" w:rsidP="00B62BE1">
            <w:pPr>
              <w:pStyle w:val="Standard"/>
              <w:spacing w:after="0" w:line="240" w:lineRule="auto"/>
            </w:pPr>
            <w:r w:rsidRPr="00B62BE1">
              <w:t>201</w:t>
            </w:r>
            <w:r w:rsidR="00423898">
              <w:t>1</w:t>
            </w:r>
          </w:p>
        </w:tc>
        <w:tc>
          <w:tcPr>
            <w:tcW w:w="3085" w:type="dxa"/>
          </w:tcPr>
          <w:p w14:paraId="1C5849EC" w14:textId="24584C6C" w:rsidR="00B62BE1" w:rsidRPr="00B62BE1" w:rsidRDefault="00B62BE1" w:rsidP="00B62BE1">
            <w:pPr>
              <w:pStyle w:val="Standard"/>
              <w:spacing w:after="0" w:line="240" w:lineRule="auto"/>
            </w:pPr>
            <w:r>
              <w:t>Can progress to National Testing</w:t>
            </w:r>
          </w:p>
        </w:tc>
      </w:tr>
      <w:tr w:rsidR="00B62BE1" w14:paraId="71FC0518" w14:textId="0218A700" w:rsidTr="00B62BE1">
        <w:trPr>
          <w:jc w:val="center"/>
        </w:trPr>
        <w:tc>
          <w:tcPr>
            <w:tcW w:w="1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14B3" w14:textId="3617EFC8" w:rsidR="00B62BE1" w:rsidRDefault="00B62BE1" w:rsidP="00B62BE1">
            <w:pPr>
              <w:pStyle w:val="Standard"/>
              <w:spacing w:after="0" w:line="240" w:lineRule="auto"/>
            </w:pPr>
            <w:r>
              <w:t>11</w:t>
            </w:r>
            <w:r w:rsidR="00390F51">
              <w:t>-</w:t>
            </w:r>
            <w:r>
              <w:t>year</w:t>
            </w:r>
            <w:r w:rsidR="00390F51">
              <w:t>-</w:t>
            </w:r>
            <w:r>
              <w:t xml:space="preserve">old </w:t>
            </w:r>
          </w:p>
        </w:tc>
        <w:tc>
          <w:tcPr>
            <w:tcW w:w="10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3CF4C" w14:textId="1A445049" w:rsidR="00B62BE1" w:rsidRDefault="00B62BE1" w:rsidP="00B62BE1">
            <w:pPr>
              <w:pStyle w:val="Standard"/>
              <w:spacing w:after="0" w:line="240" w:lineRule="auto"/>
            </w:pPr>
            <w:r w:rsidRPr="00B62BE1">
              <w:t>201</w:t>
            </w:r>
            <w:r w:rsidR="00423898">
              <w:t>0</w:t>
            </w:r>
          </w:p>
        </w:tc>
        <w:tc>
          <w:tcPr>
            <w:tcW w:w="3085" w:type="dxa"/>
          </w:tcPr>
          <w:p w14:paraId="06CB4A53" w14:textId="19DAAA85" w:rsidR="00B62BE1" w:rsidRPr="00B62BE1" w:rsidRDefault="00B62BE1" w:rsidP="00B62BE1">
            <w:pPr>
              <w:pStyle w:val="Standard"/>
              <w:spacing w:after="0" w:line="240" w:lineRule="auto"/>
            </w:pPr>
            <w:r>
              <w:t>Can progress to National Testing</w:t>
            </w:r>
          </w:p>
        </w:tc>
      </w:tr>
      <w:tr w:rsidR="00B62BE1" w14:paraId="558F24B5" w14:textId="3FEF02C9" w:rsidTr="00B62BE1">
        <w:trPr>
          <w:jc w:val="center"/>
        </w:trPr>
        <w:tc>
          <w:tcPr>
            <w:tcW w:w="1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60A1" w14:textId="5A575ECD" w:rsidR="00B62BE1" w:rsidRDefault="00B62BE1" w:rsidP="00B62BE1">
            <w:pPr>
              <w:pStyle w:val="Standard"/>
              <w:spacing w:after="0" w:line="240" w:lineRule="auto"/>
            </w:pPr>
            <w:r>
              <w:t>12</w:t>
            </w:r>
            <w:r w:rsidR="00390F51">
              <w:t>-</w:t>
            </w:r>
            <w:r>
              <w:t>year</w:t>
            </w:r>
            <w:r w:rsidR="00390F51">
              <w:t>-</w:t>
            </w:r>
            <w:r>
              <w:t xml:space="preserve">old </w:t>
            </w:r>
          </w:p>
        </w:tc>
        <w:tc>
          <w:tcPr>
            <w:tcW w:w="10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E485" w14:textId="05988996" w:rsidR="00B62BE1" w:rsidRDefault="00B62BE1" w:rsidP="00B62BE1">
            <w:pPr>
              <w:pStyle w:val="Standard"/>
              <w:spacing w:after="0" w:line="240" w:lineRule="auto"/>
            </w:pPr>
            <w:r w:rsidRPr="00B62BE1">
              <w:t>20</w:t>
            </w:r>
            <w:r w:rsidR="00423898">
              <w:t>09</w:t>
            </w:r>
          </w:p>
        </w:tc>
        <w:tc>
          <w:tcPr>
            <w:tcW w:w="3085" w:type="dxa"/>
          </w:tcPr>
          <w:p w14:paraId="4F4A9F11" w14:textId="12AEEA4A" w:rsidR="00B62BE1" w:rsidRPr="00484ED9" w:rsidRDefault="00B62BE1" w:rsidP="00B62BE1">
            <w:pPr>
              <w:pStyle w:val="Standard"/>
              <w:spacing w:after="0" w:line="240" w:lineRule="auto"/>
              <w:rPr>
                <w:highlight w:val="yellow"/>
              </w:rPr>
            </w:pPr>
            <w:r>
              <w:t>Can progress to National Testing</w:t>
            </w:r>
          </w:p>
        </w:tc>
      </w:tr>
      <w:tr w:rsidR="00B62BE1" w14:paraId="73821EB8" w14:textId="7CC539B8" w:rsidTr="00B62BE1">
        <w:trPr>
          <w:jc w:val="center"/>
        </w:trPr>
        <w:tc>
          <w:tcPr>
            <w:tcW w:w="1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13A9" w14:textId="78DABB92" w:rsidR="00B62BE1" w:rsidRDefault="00B62BE1" w:rsidP="00B62BE1">
            <w:pPr>
              <w:pStyle w:val="Standard"/>
              <w:spacing w:after="0" w:line="240" w:lineRule="auto"/>
            </w:pPr>
          </w:p>
        </w:tc>
        <w:tc>
          <w:tcPr>
            <w:tcW w:w="10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F276B" w14:textId="1B456D8E" w:rsidR="00B62BE1" w:rsidRDefault="00B62BE1" w:rsidP="00B62BE1">
            <w:pPr>
              <w:pStyle w:val="Standard"/>
              <w:spacing w:after="0" w:line="240" w:lineRule="auto"/>
            </w:pPr>
          </w:p>
        </w:tc>
        <w:tc>
          <w:tcPr>
            <w:tcW w:w="3085" w:type="dxa"/>
          </w:tcPr>
          <w:p w14:paraId="35445349" w14:textId="77777777" w:rsidR="00B62BE1" w:rsidRDefault="00B62BE1" w:rsidP="00B62BE1">
            <w:pPr>
              <w:pStyle w:val="Standard"/>
              <w:spacing w:after="0" w:line="240" w:lineRule="auto"/>
            </w:pPr>
          </w:p>
        </w:tc>
      </w:tr>
    </w:tbl>
    <w:p w14:paraId="0D817763" w14:textId="77777777" w:rsidR="00B54DF5" w:rsidRPr="00B54DF5" w:rsidRDefault="00B54DF5" w:rsidP="00B54D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0A3F47" w14:textId="10F0B485" w:rsidR="00B54DF5" w:rsidRPr="00C61683" w:rsidRDefault="00B54DF5" w:rsidP="00B54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1683">
        <w:rPr>
          <w:rFonts w:cstheme="minorHAnsi"/>
          <w:color w:val="000000"/>
          <w:sz w:val="24"/>
          <w:szCs w:val="24"/>
        </w:rPr>
        <w:t>Qualification scores to Nationals have NOT been released as of the date of this publication.</w:t>
      </w:r>
    </w:p>
    <w:p w14:paraId="41C9623E" w14:textId="77777777" w:rsidR="00C61683" w:rsidRDefault="00C61683" w:rsidP="00B54D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2A438F" w14:textId="483191E2" w:rsidR="00B54DF5" w:rsidRPr="00C61683" w:rsidRDefault="00B54DF5" w:rsidP="00C61683">
      <w:pPr>
        <w:pStyle w:val="Heading1"/>
      </w:pPr>
      <w:r w:rsidRPr="00C61683">
        <w:t>Future Stars National Testing</w:t>
      </w:r>
    </w:p>
    <w:p w14:paraId="246EAAB4" w14:textId="7F432CFE" w:rsidR="00B54DF5" w:rsidRPr="00C61683" w:rsidRDefault="00B54DF5" w:rsidP="00390F51">
      <w:pPr>
        <w:tabs>
          <w:tab w:val="left" w:leader="do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61683">
        <w:rPr>
          <w:rFonts w:cstheme="minorHAnsi"/>
          <w:color w:val="000000"/>
          <w:sz w:val="24"/>
          <w:szCs w:val="24"/>
        </w:rPr>
        <w:t>Location</w:t>
      </w:r>
      <w:r w:rsidR="00390F51">
        <w:rPr>
          <w:rFonts w:cstheme="minorHAnsi"/>
          <w:color w:val="000000"/>
          <w:sz w:val="24"/>
          <w:szCs w:val="24"/>
        </w:rPr>
        <w:t>:</w:t>
      </w:r>
      <w:r w:rsidRPr="00C61683">
        <w:rPr>
          <w:rFonts w:cstheme="minorHAnsi"/>
          <w:color w:val="000000"/>
          <w:sz w:val="24"/>
          <w:szCs w:val="24"/>
        </w:rPr>
        <w:t xml:space="preserve"> </w:t>
      </w:r>
      <w:r w:rsidR="00390F51">
        <w:rPr>
          <w:rFonts w:cstheme="minorHAnsi"/>
          <w:color w:val="000000"/>
          <w:sz w:val="24"/>
          <w:szCs w:val="24"/>
        </w:rPr>
        <w:tab/>
        <w:t xml:space="preserve"> </w:t>
      </w:r>
      <w:r w:rsidRPr="00C61683">
        <w:rPr>
          <w:rFonts w:cstheme="minorHAnsi"/>
          <w:color w:val="000000"/>
          <w:sz w:val="24"/>
          <w:szCs w:val="24"/>
        </w:rPr>
        <w:t>TBA</w:t>
      </w:r>
    </w:p>
    <w:p w14:paraId="4497887E" w14:textId="66348DDC" w:rsidR="00B54DF5" w:rsidRPr="00C61683" w:rsidRDefault="00390F51" w:rsidP="00390F51">
      <w:pPr>
        <w:tabs>
          <w:tab w:val="left" w:leader="do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Date: </w:t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 w:rsidR="00B54DF5" w:rsidRPr="00C61683">
        <w:rPr>
          <w:rFonts w:cstheme="minorHAnsi"/>
          <w:color w:val="000000"/>
          <w:sz w:val="24"/>
          <w:szCs w:val="24"/>
        </w:rPr>
        <w:t>November 17th - 21st</w:t>
      </w:r>
    </w:p>
    <w:p w14:paraId="4E0286D5" w14:textId="4EB484A8" w:rsidR="000B7048" w:rsidRDefault="000B7048" w:rsidP="00B54DF5"/>
    <w:p w14:paraId="7E52117F" w14:textId="77777777" w:rsidR="000B7048" w:rsidRDefault="000B7048">
      <w:r>
        <w:br w:type="page"/>
      </w:r>
    </w:p>
    <w:p w14:paraId="14643D33" w14:textId="77777777" w:rsidR="000B7048" w:rsidRDefault="000B7048" w:rsidP="000B7048">
      <w:pPr>
        <w:jc w:val="center"/>
      </w:pPr>
      <w:r>
        <w:rPr>
          <w:noProof/>
        </w:rPr>
        <w:lastRenderedPageBreak/>
        <w:drawing>
          <wp:inline distT="0" distB="0" distL="0" distR="0" wp14:anchorId="00EF8A7E" wp14:editId="00A0A9B1">
            <wp:extent cx="3742944" cy="12100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44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99A7" w14:textId="6D993BA8" w:rsidR="000B7048" w:rsidRDefault="000B7048" w:rsidP="000B7048">
      <w:pPr>
        <w:pStyle w:val="Heading1"/>
        <w:jc w:val="center"/>
      </w:pPr>
      <w:r>
        <w:t>Region 7 Elite Team Training Clinic</w:t>
      </w:r>
    </w:p>
    <w:p w14:paraId="3DA2256D" w14:textId="77777777" w:rsidR="000B7048" w:rsidRDefault="000B7048" w:rsidP="000B7048">
      <w:r>
        <w:t>October 16 &amp; 17, 2021</w:t>
      </w:r>
    </w:p>
    <w:p w14:paraId="10829B1F" w14:textId="77777777" w:rsidR="000B7048" w:rsidRDefault="000B7048" w:rsidP="000B7048">
      <w:r>
        <w:t>Hosted by Williamsburg Gymnastics 144-A Tewning Rd Williamsburg VA 23188</w:t>
      </w:r>
    </w:p>
    <w:p w14:paraId="68129FCA" w14:textId="6A09C62D" w:rsidR="000B7048" w:rsidRDefault="000B7048" w:rsidP="000B7048">
      <w:pPr>
        <w:autoSpaceDE w:val="0"/>
        <w:autoSpaceDN w:val="0"/>
        <w:adjustRightInd w:val="0"/>
        <w:spacing w:after="0" w:line="240" w:lineRule="auto"/>
      </w:pPr>
      <w:r>
        <w:t xml:space="preserve">Details: </w:t>
      </w:r>
      <w:r w:rsidR="00C61683" w:rsidRPr="00C61683">
        <w:rPr>
          <w:highlight w:val="yellow"/>
        </w:rPr>
        <w:t xml:space="preserve">(limit to </w:t>
      </w:r>
      <w:r w:rsidR="00C61683">
        <w:rPr>
          <w:highlight w:val="yellow"/>
        </w:rPr>
        <w:t>3</w:t>
      </w:r>
      <w:r w:rsidR="00C61683" w:rsidRPr="00C61683">
        <w:rPr>
          <w:highlight w:val="yellow"/>
        </w:rPr>
        <w:t>0 gymnasts)</w:t>
      </w:r>
    </w:p>
    <w:p w14:paraId="2D88F508" w14:textId="77777777" w:rsidR="000B7048" w:rsidRPr="00B54DF5" w:rsidRDefault="000B7048" w:rsidP="000B7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4DF5">
        <w:rPr>
          <w:rFonts w:cstheme="minorHAnsi"/>
          <w:color w:val="000000"/>
        </w:rPr>
        <w:t>$100 Entry Fee – Payable to “USA Gymnastics Region 7 Mens”</w:t>
      </w:r>
    </w:p>
    <w:p w14:paraId="7A2CF5EA" w14:textId="77777777" w:rsidR="000B7048" w:rsidRPr="00B54DF5" w:rsidRDefault="000B7048" w:rsidP="000B7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4DF5">
        <w:rPr>
          <w:rFonts w:cstheme="minorHAnsi"/>
          <w:color w:val="000000"/>
        </w:rPr>
        <w:t xml:space="preserve">Enter in the </w:t>
      </w:r>
      <w:r w:rsidRPr="00B62BE1">
        <w:rPr>
          <w:rFonts w:cstheme="minorHAnsi"/>
          <w:b/>
          <w:bCs/>
          <w:color w:val="000000"/>
        </w:rPr>
        <w:t>USAG Meet Registration System</w:t>
      </w:r>
    </w:p>
    <w:p w14:paraId="29E31330" w14:textId="77777777" w:rsidR="000B7048" w:rsidRPr="00B54DF5" w:rsidRDefault="000B7048" w:rsidP="000B7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A211E"/>
        </w:rPr>
      </w:pPr>
      <w:r w:rsidRPr="00B54DF5">
        <w:rPr>
          <w:rFonts w:cstheme="minorHAnsi"/>
          <w:color w:val="000000"/>
        </w:rPr>
        <w:t xml:space="preserve">Payments mailed to: </w:t>
      </w:r>
      <w:r w:rsidRPr="00B54DF5">
        <w:rPr>
          <w:rFonts w:cstheme="minorHAnsi"/>
          <w:b/>
          <w:bCs/>
          <w:color w:val="CA211E"/>
        </w:rPr>
        <w:t>Region 7 Gymnastics | C/O Richard Pulsfort | 529 Maple Ave | Elizabeth NJ | 07202</w:t>
      </w:r>
    </w:p>
    <w:p w14:paraId="157E5579" w14:textId="77777777" w:rsidR="000B7048" w:rsidRDefault="000B7048" w:rsidP="000B7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7048">
        <w:rPr>
          <w:rFonts w:cstheme="minorHAnsi"/>
          <w:color w:val="000000"/>
        </w:rPr>
        <w:t>All interested Level 10 Athletes &amp; Coaches are welcome to attend.</w:t>
      </w:r>
      <w:r>
        <w:rPr>
          <w:rFonts w:cstheme="minorHAnsi"/>
          <w:color w:val="000000"/>
        </w:rPr>
        <w:t xml:space="preserve"> </w:t>
      </w:r>
    </w:p>
    <w:p w14:paraId="3CFA1D59" w14:textId="77777777" w:rsidR="000B7048" w:rsidRDefault="000B7048" w:rsidP="000B70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7048">
        <w:rPr>
          <w:rFonts w:cstheme="minorHAnsi"/>
          <w:color w:val="000000"/>
        </w:rPr>
        <w:t>Region 7 is looking for 6 AA athletes that can score 78+ under the new Code of Points.</w:t>
      </w:r>
    </w:p>
    <w:p w14:paraId="075E099E" w14:textId="3CA910E6" w:rsidR="000B7048" w:rsidRDefault="000B7048" w:rsidP="000B70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7048">
        <w:rPr>
          <w:rFonts w:cstheme="minorHAnsi"/>
          <w:color w:val="000000"/>
        </w:rPr>
        <w:t>Final Start Values should be upwards of 14.0+ on most (if not all) events.</w:t>
      </w:r>
    </w:p>
    <w:p w14:paraId="1B6D17DA" w14:textId="4EC4AD06" w:rsidR="000B7048" w:rsidRDefault="000B7048" w:rsidP="000B704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B7048">
        <w:rPr>
          <w:rFonts w:cstheme="minorHAnsi"/>
          <w:color w:val="000000"/>
        </w:rPr>
        <w:t>Athletes should be aiming for final scores at a 13.0 or higher across all 6 events.</w:t>
      </w:r>
    </w:p>
    <w:p w14:paraId="0D74476A" w14:textId="40E45E5D" w:rsidR="00C61683" w:rsidRDefault="00C61683" w:rsidP="00C61683"/>
    <w:p w14:paraId="1404D9C0" w14:textId="77777777" w:rsidR="00C61683" w:rsidRDefault="00C61683" w:rsidP="00C61683"/>
    <w:p w14:paraId="6A2E8E27" w14:textId="14048BCF" w:rsidR="000B7048" w:rsidRDefault="000B7048" w:rsidP="000B7048">
      <w:pPr>
        <w:pStyle w:val="Heading1"/>
      </w:pPr>
      <w:r>
        <w:t>Elite Team Cup</w:t>
      </w:r>
      <w:r w:rsidR="009155CF">
        <w:t xml:space="preserve"> – February 23 – 27, 2022 TBD</w:t>
      </w:r>
    </w:p>
    <w:p w14:paraId="1A1063A6" w14:textId="052631D1" w:rsidR="000B7048" w:rsidRDefault="000B7048" w:rsidP="000B70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7048">
        <w:rPr>
          <w:rFonts w:cstheme="minorHAnsi"/>
        </w:rPr>
        <w:t xml:space="preserve">The Region 7 </w:t>
      </w:r>
      <w:r>
        <w:rPr>
          <w:rFonts w:cstheme="minorHAnsi"/>
        </w:rPr>
        <w:t>d</w:t>
      </w:r>
      <w:r w:rsidRPr="000B7048">
        <w:rPr>
          <w:rFonts w:cstheme="minorHAnsi"/>
        </w:rPr>
        <w:t>elegation will comprise 6 members, and 1 alternate (non-traveling).</w:t>
      </w:r>
      <w:r>
        <w:rPr>
          <w:rFonts w:cstheme="minorHAnsi"/>
        </w:rPr>
        <w:t xml:space="preserve"> </w:t>
      </w:r>
      <w:r w:rsidR="009155CF">
        <w:rPr>
          <w:rFonts w:cstheme="minorHAnsi"/>
        </w:rPr>
        <w:t xml:space="preserve">Current Level 10 Jr. National Team members have an automatic spot on the Region Elite Team. </w:t>
      </w:r>
      <w:r>
        <w:rPr>
          <w:rFonts w:cstheme="minorHAnsi"/>
        </w:rPr>
        <w:t>The region is looking for scores from athletes that have competed in</w:t>
      </w:r>
      <w:r w:rsidR="009155CF">
        <w:rPr>
          <w:rFonts w:cstheme="minorHAnsi"/>
        </w:rPr>
        <w:t xml:space="preserve"> the following meets</w:t>
      </w:r>
      <w:r>
        <w:rPr>
          <w:rFonts w:cstheme="minorHAnsi"/>
        </w:rPr>
        <w:t>:</w:t>
      </w:r>
    </w:p>
    <w:p w14:paraId="5B0207D0" w14:textId="7BF4502F" w:rsidR="009155CF" w:rsidRDefault="000B7048" w:rsidP="000B70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Greater New York Invitational – December </w:t>
      </w:r>
      <w:r w:rsidR="009155CF">
        <w:rPr>
          <w:rFonts w:cstheme="minorHAnsi"/>
        </w:rPr>
        <w:t>4 &amp; 5, 2021</w:t>
      </w:r>
    </w:p>
    <w:p w14:paraId="4ED58E17" w14:textId="35D8CF11" w:rsidR="009155CF" w:rsidRDefault="009155CF" w:rsidP="000B70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West Point Open – January 14 – 16, 2022</w:t>
      </w:r>
    </w:p>
    <w:p w14:paraId="62B5DE8C" w14:textId="0284393E" w:rsidR="00C61683" w:rsidRDefault="009155CF" w:rsidP="009155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1683">
        <w:rPr>
          <w:rFonts w:cstheme="minorHAnsi"/>
        </w:rPr>
        <w:t>Gymnasts can submit routine videos to be considered to Dropbox by January 16</w:t>
      </w:r>
      <w:r w:rsidRPr="00C61683">
        <w:rPr>
          <w:rFonts w:cstheme="minorHAnsi"/>
          <w:vertAlign w:val="superscript"/>
        </w:rPr>
        <w:t>th</w:t>
      </w:r>
      <w:r w:rsidRPr="00C61683">
        <w:rPr>
          <w:rFonts w:cstheme="minorHAnsi"/>
        </w:rPr>
        <w:t>.</w:t>
      </w:r>
      <w:r w:rsidR="00C61683" w:rsidRPr="00C61683">
        <w:rPr>
          <w:rFonts w:cstheme="minorHAnsi"/>
        </w:rPr>
        <w:t xml:space="preserve"> (</w:t>
      </w:r>
      <w:hyperlink r:id="rId6" w:history="1">
        <w:r w:rsidR="00C61683" w:rsidRPr="002E6512">
          <w:rPr>
            <w:rStyle w:val="Hyperlink"/>
            <w:rFonts w:cstheme="minorHAnsi"/>
          </w:rPr>
          <w:t>https://www.dropbox.com/sh/23dtovqdyjg67iv/AABtBjCBEI28xl9A2pb7I2DIa?dl=0</w:t>
        </w:r>
      </w:hyperlink>
      <w:r w:rsidR="00C61683" w:rsidRPr="00C61683">
        <w:rPr>
          <w:rFonts w:cstheme="minorHAnsi"/>
        </w:rPr>
        <w:t>)</w:t>
      </w:r>
    </w:p>
    <w:p w14:paraId="09BBF6C8" w14:textId="74550AF9" w:rsidR="009155CF" w:rsidRPr="00C61683" w:rsidRDefault="009155CF" w:rsidP="009155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1683">
        <w:rPr>
          <w:rFonts w:cstheme="minorHAnsi"/>
        </w:rPr>
        <w:t xml:space="preserve">Final determination for team members will be </w:t>
      </w:r>
      <w:r w:rsidR="00681401">
        <w:rPr>
          <w:rFonts w:cstheme="minorHAnsi"/>
        </w:rPr>
        <w:t>February 1</w:t>
      </w:r>
      <w:r w:rsidRPr="00C61683">
        <w:rPr>
          <w:rFonts w:cstheme="minorHAnsi"/>
        </w:rPr>
        <w:t>, 2022</w:t>
      </w:r>
    </w:p>
    <w:p w14:paraId="3F93E066" w14:textId="77777777" w:rsidR="000B7048" w:rsidRPr="000B7048" w:rsidRDefault="000B7048" w:rsidP="000B70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F3B6B2" w14:textId="77777777" w:rsidR="00B54DF5" w:rsidRDefault="00B54DF5" w:rsidP="00B54DF5"/>
    <w:sectPr w:rsidR="00B5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7AE"/>
    <w:multiLevelType w:val="hybridMultilevel"/>
    <w:tmpl w:val="261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E74"/>
    <w:multiLevelType w:val="hybridMultilevel"/>
    <w:tmpl w:val="9C3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DS3ANJGZoYWRko6SsGpxcWZ+XkgBSa1AK5KR1ksAAAA"/>
  </w:docVars>
  <w:rsids>
    <w:rsidRoot w:val="00B54DF5"/>
    <w:rsid w:val="000B7048"/>
    <w:rsid w:val="00390F51"/>
    <w:rsid w:val="00423898"/>
    <w:rsid w:val="004E294F"/>
    <w:rsid w:val="00530C6E"/>
    <w:rsid w:val="00681401"/>
    <w:rsid w:val="007B418C"/>
    <w:rsid w:val="009155CF"/>
    <w:rsid w:val="00AC6D22"/>
    <w:rsid w:val="00B54DF5"/>
    <w:rsid w:val="00B62BE1"/>
    <w:rsid w:val="00C61683"/>
    <w:rsid w:val="00D447CE"/>
    <w:rsid w:val="00E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0885"/>
  <w15:chartTrackingRefBased/>
  <w15:docId w15:val="{D5003ADD-65C2-4C6A-AC4D-41887CD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48"/>
  </w:style>
  <w:style w:type="paragraph" w:styleId="Heading1">
    <w:name w:val="heading 1"/>
    <w:basedOn w:val="Normal"/>
    <w:next w:val="Normal"/>
    <w:link w:val="Heading1Char"/>
    <w:uiPriority w:val="9"/>
    <w:qFormat/>
    <w:rsid w:val="00B62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F5"/>
    <w:pPr>
      <w:ind w:left="720"/>
      <w:contextualSpacing/>
    </w:pPr>
  </w:style>
  <w:style w:type="paragraph" w:customStyle="1" w:styleId="Standard">
    <w:name w:val="Standard"/>
    <w:rsid w:val="00B54DF5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Heading1Char">
    <w:name w:val="Heading 1 Char"/>
    <w:basedOn w:val="DefaultParagraphFont"/>
    <w:link w:val="Heading1"/>
    <w:uiPriority w:val="9"/>
    <w:rsid w:val="00B62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23dtovqdyjg67iv/AABtBjCBEI28xl9A2pb7I2DIa?d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Lundy</dc:creator>
  <cp:keywords/>
  <dc:description/>
  <cp:lastModifiedBy>Lundy, Robert L</cp:lastModifiedBy>
  <cp:revision>7</cp:revision>
  <dcterms:created xsi:type="dcterms:W3CDTF">2021-09-01T20:29:00Z</dcterms:created>
  <dcterms:modified xsi:type="dcterms:W3CDTF">2021-09-10T12:29:00Z</dcterms:modified>
</cp:coreProperties>
</file>